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B4" w:rsidRPr="00F816B4" w:rsidRDefault="00F816B4" w:rsidP="00F816B4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F816B4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Drug Treatment and Rehabilitation Services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Woman 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Drug treatment and rehabilitation centres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help those in need to kick their drug habit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and start a new chapter in life.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Man1: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 treasure this opportunity.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I’ve got care and support and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I’ve found my values and direction in life here.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Girl: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 want to be a useful person, 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to contribute to society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I’ve learnt a lot here and I’ve changed.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Man2: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 know the difference between right and wrong and I’ve regained my confidence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Man1: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Only with your support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Man2: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can we start a new life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Girl: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Stand Firm! Knock Drugs Out!</w:t>
            </w:r>
          </w:p>
        </w:tc>
      </w:tr>
      <w:tr w:rsidR="00F816B4" w:rsidRPr="00F816B4" w:rsidTr="00F816B4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F816B4" w:rsidRPr="00F816B4" w:rsidRDefault="00F816B4" w:rsidP="00F816B4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Stand Firm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Help/Report 186 186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</w:t>
            </w:r>
            <w:r w:rsidRPr="00F816B4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F816B4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F816B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816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6B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16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816B4"/>
  </w:style>
  <w:style w:type="character" w:styleId="Hyperlink">
    <w:name w:val="Hyperlink"/>
    <w:basedOn w:val="DefaultParagraphFont"/>
    <w:uiPriority w:val="99"/>
    <w:semiHidden/>
    <w:unhideWhenUsed/>
    <w:rsid w:val="00F8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2015-09-29T07:27:00Z</dcterms:modified>
</cp:coreProperties>
</file>